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DFC340" w14:textId="77777777" w:rsidR="002541AB" w:rsidRPr="002541AB" w:rsidRDefault="002541AB" w:rsidP="002541AB">
      <w:pPr>
        <w:spacing w:after="0" w:line="240" w:lineRule="auto"/>
        <w:jc w:val="both"/>
        <w:rPr>
          <w:rFonts w:ascii="Calibri Light" w:eastAsia="Aptos" w:hAnsi="Calibri Light" w:cs="Calibri Light"/>
          <w:color w:val="002060"/>
          <w:kern w:val="0"/>
          <w:sz w:val="26"/>
          <w:szCs w:val="26"/>
          <w:lang w:val="en-US"/>
          <w14:ligatures w14:val="none"/>
        </w:rPr>
      </w:pPr>
      <w:r w:rsidRPr="002541AB">
        <w:rPr>
          <w:rFonts w:ascii="Calibri Light" w:eastAsia="Aptos" w:hAnsi="Calibri Light" w:cs="Calibri Light"/>
          <w:color w:val="002060"/>
          <w:kern w:val="0"/>
          <w:sz w:val="26"/>
          <w:szCs w:val="26"/>
          <w:lang w:val="en-US"/>
          <w14:ligatures w14:val="none"/>
        </w:rPr>
        <w:t xml:space="preserve">To be understood as change of ‘company’ as the entity responsible for obligations under the MRV Maritime Regulation. A change of company may be triggered by a change of ownership (sale/purchase of the ship) but also by a change in the regulated entity that assumes responsibility for MRV compliance (i.e. modifications concerning the document referred to in Implementing Regulation (EU) 2023/2599). </w:t>
      </w:r>
    </w:p>
    <w:p w14:paraId="42524A43" w14:textId="77777777" w:rsidR="002541AB" w:rsidRPr="002541AB" w:rsidRDefault="002541AB" w:rsidP="002541AB">
      <w:pPr>
        <w:spacing w:after="0" w:line="240" w:lineRule="auto"/>
        <w:jc w:val="both"/>
        <w:rPr>
          <w:rFonts w:ascii="Calibri Light" w:eastAsia="Aptos" w:hAnsi="Calibri Light" w:cs="Calibri Light"/>
          <w:color w:val="002060"/>
          <w:kern w:val="0"/>
          <w:sz w:val="26"/>
          <w:szCs w:val="26"/>
          <w:lang w:val="en-US"/>
          <w14:ligatures w14:val="none"/>
        </w:rPr>
      </w:pPr>
    </w:p>
    <w:p w14:paraId="69F7C846" w14:textId="77777777" w:rsidR="002541AB" w:rsidRPr="002541AB" w:rsidRDefault="002541AB" w:rsidP="002541AB">
      <w:pPr>
        <w:spacing w:after="0" w:line="240" w:lineRule="auto"/>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t>The change of a company in respect of a vessel is handled as follows:</w:t>
      </w:r>
    </w:p>
    <w:p w14:paraId="61CB20C3" w14:textId="77777777" w:rsidR="002541AB" w:rsidRPr="002541AB" w:rsidRDefault="002541AB" w:rsidP="002541AB">
      <w:pPr>
        <w:spacing w:after="0" w:line="240" w:lineRule="auto"/>
        <w:jc w:val="both"/>
        <w:rPr>
          <w:rFonts w:ascii="Calibri Light" w:eastAsia="Aptos" w:hAnsi="Calibri Light" w:cs="Calibri Light"/>
          <w:color w:val="002060"/>
          <w:kern w:val="0"/>
          <w:sz w:val="26"/>
          <w:szCs w:val="26"/>
          <w:lang w:val="en-US" w:eastAsia="el-GR"/>
          <w14:ligatures w14:val="none"/>
        </w:rPr>
      </w:pPr>
    </w:p>
    <w:p w14:paraId="48B4B1EE" w14:textId="77777777" w:rsidR="002541AB" w:rsidRPr="002541AB" w:rsidRDefault="002541AB" w:rsidP="002541AB">
      <w:pPr>
        <w:numPr>
          <w:ilvl w:val="0"/>
          <w:numId w:val="1"/>
        </w:numPr>
        <w:spacing w:after="0" w:line="276" w:lineRule="auto"/>
        <w:jc w:val="both"/>
        <w:rPr>
          <w:rFonts w:ascii="Aptos" w:eastAsia="Times New Roman" w:hAnsi="Aptos" w:cs="Aptos"/>
          <w:kern w:val="0"/>
          <w:sz w:val="22"/>
          <w:szCs w:val="22"/>
          <w:lang w:val="de-DE" w:eastAsia="el-GR"/>
          <w14:ligatures w14:val="none"/>
        </w:rPr>
      </w:pPr>
      <w:r w:rsidRPr="002541AB">
        <w:rPr>
          <w:rFonts w:ascii="Calibri Light" w:eastAsia="Times New Roman" w:hAnsi="Calibri Light" w:cs="Calibri Light"/>
          <w:color w:val="002060"/>
          <w:kern w:val="0"/>
          <w:sz w:val="26"/>
          <w:szCs w:val="26"/>
          <w:lang w:val="en-US" w:eastAsia="el-GR"/>
          <w14:ligatures w14:val="none"/>
        </w:rPr>
        <w:t xml:space="preserve">Pursuant to article 7(2) of the amended MRV Maritime regulation (Reg. (EU) 2015/757), a change of company constitutes a situation where “Companies shall </w:t>
      </w:r>
      <w:r w:rsidRPr="002541AB">
        <w:rPr>
          <w:rFonts w:ascii="Calibri Light" w:eastAsia="Times New Roman" w:hAnsi="Calibri Light" w:cs="Calibri Light"/>
          <w:b/>
          <w:bCs/>
          <w:color w:val="002060"/>
          <w:kern w:val="0"/>
          <w:sz w:val="26"/>
          <w:szCs w:val="26"/>
          <w:lang w:val="en-US" w:eastAsia="el-GR"/>
          <w14:ligatures w14:val="none"/>
        </w:rPr>
        <w:t>modify the monitoring plan (MP)</w:t>
      </w:r>
      <w:r w:rsidRPr="002541AB">
        <w:rPr>
          <w:rFonts w:ascii="Calibri Light" w:eastAsia="Times New Roman" w:hAnsi="Calibri Light" w:cs="Calibri Light"/>
          <w:color w:val="002060"/>
          <w:kern w:val="0"/>
          <w:sz w:val="26"/>
          <w:szCs w:val="26"/>
          <w:lang w:val="en-US" w:eastAsia="el-GR"/>
          <w14:ligatures w14:val="none"/>
        </w:rPr>
        <w:t>”</w:t>
      </w:r>
    </w:p>
    <w:p w14:paraId="571AD02D" w14:textId="77777777" w:rsidR="002541AB" w:rsidRPr="002541AB" w:rsidRDefault="002541AB" w:rsidP="002541AB">
      <w:pPr>
        <w:spacing w:after="0" w:line="276" w:lineRule="auto"/>
        <w:ind w:left="72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t xml:space="preserve">A change of ‘company’ refers to the entity responsible for obligations under the MRV Maritime Regulation. A change of company may be triggered by a change of ownership (sale/purchase of the ship) but also by a change in the ISM company that assumes responsibility for MRV compliance (i.e. modifications concerning the so-called mandate). Where modifications to the monitoring plan are limited to the change of company </w:t>
      </w:r>
      <w:r w:rsidRPr="002541AB">
        <w:rPr>
          <w:rFonts w:ascii="Calibri Light" w:eastAsia="Aptos" w:hAnsi="Calibri Light" w:cs="Calibri Light"/>
          <w:color w:val="002060"/>
          <w:kern w:val="0"/>
          <w:sz w:val="26"/>
          <w:szCs w:val="26"/>
          <w:lang w:val="en-US"/>
          <w14:ligatures w14:val="none"/>
        </w:rPr>
        <w:t>(to be meant as change in the company name, nature, or IMO unique company and registered owner identification number of the company)</w:t>
      </w:r>
      <w:r w:rsidRPr="002541AB">
        <w:rPr>
          <w:rFonts w:ascii="Calibri Light" w:eastAsia="Aptos" w:hAnsi="Calibri Light" w:cs="Calibri Light"/>
          <w:color w:val="002060"/>
          <w:kern w:val="0"/>
          <w:sz w:val="26"/>
          <w:szCs w:val="26"/>
          <w:lang w:val="en-US" w:eastAsia="el-GR"/>
          <w14:ligatures w14:val="none"/>
        </w:rPr>
        <w:t xml:space="preserve">, the verifier should be notified by the shipping company of such </w:t>
      </w:r>
      <w:proofErr w:type="gramStart"/>
      <w:r w:rsidRPr="002541AB">
        <w:rPr>
          <w:rFonts w:ascii="Calibri Light" w:eastAsia="Aptos" w:hAnsi="Calibri Light" w:cs="Calibri Light"/>
          <w:color w:val="002060"/>
          <w:kern w:val="0"/>
          <w:sz w:val="26"/>
          <w:szCs w:val="26"/>
          <w:lang w:val="en-US" w:eastAsia="el-GR"/>
          <w14:ligatures w14:val="none"/>
        </w:rPr>
        <w:t>changes</w:t>
      </w:r>
      <w:proofErr w:type="gramEnd"/>
      <w:r w:rsidRPr="002541AB">
        <w:rPr>
          <w:rFonts w:ascii="Calibri Light" w:eastAsia="Aptos" w:hAnsi="Calibri Light" w:cs="Calibri Light"/>
          <w:color w:val="002060"/>
          <w:kern w:val="0"/>
          <w:sz w:val="26"/>
          <w:szCs w:val="26"/>
          <w:lang w:val="en-US" w:eastAsia="el-GR"/>
          <w14:ligatures w14:val="none"/>
        </w:rPr>
        <w:t xml:space="preserve"> but it is not necessary for the verifier to carry out an additional assessment of the previously assessed MP. The above-mentioned modifications shall in any case be approved by the Administering Authority (AA). Of course, it is desirable for this MP to be approved by the AA before the change of company, even more so when this company change triggers a change in the AA.</w:t>
      </w:r>
    </w:p>
    <w:p w14:paraId="3AB12A96" w14:textId="77777777" w:rsidR="002541AB" w:rsidRPr="002541AB" w:rsidRDefault="002541AB" w:rsidP="002541AB">
      <w:pPr>
        <w:spacing w:after="0" w:line="276" w:lineRule="auto"/>
        <w:ind w:left="72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t>Please also note that in case the modification of the monitoring plan consists in a change of company, Article 76(2) of the delegated Regulation (EU) 2023/2917 spells out the obligation for the company to submit to the administering authority responsible evidence of the change of company, as well as indication of whether the monitoring plan had been approved by the administering authority responsible before the change of company, with supporting evidence, in case that the administering authority is not the same.</w:t>
      </w:r>
    </w:p>
    <w:p w14:paraId="39BB86F9" w14:textId="77777777" w:rsidR="002541AB" w:rsidRPr="002541AB" w:rsidRDefault="002541AB" w:rsidP="002541AB">
      <w:pPr>
        <w:spacing w:after="0" w:line="276" w:lineRule="auto"/>
        <w:ind w:left="720"/>
        <w:jc w:val="both"/>
        <w:rPr>
          <w:rFonts w:ascii="Calibri" w:eastAsia="Aptos" w:hAnsi="Calibri" w:cs="Calibri"/>
          <w:color w:val="002060"/>
          <w:kern w:val="0"/>
          <w:lang w:val="en-US"/>
          <w14:ligatures w14:val="none"/>
        </w:rPr>
      </w:pPr>
    </w:p>
    <w:p w14:paraId="6A35C70F" w14:textId="77777777" w:rsidR="002541AB" w:rsidRPr="002541AB" w:rsidRDefault="002541AB" w:rsidP="002541AB">
      <w:pPr>
        <w:numPr>
          <w:ilvl w:val="0"/>
          <w:numId w:val="1"/>
        </w:numPr>
        <w:spacing w:after="0" w:line="276" w:lineRule="auto"/>
        <w:jc w:val="both"/>
        <w:rPr>
          <w:rFonts w:ascii="Aptos" w:eastAsia="Times New Roman" w:hAnsi="Aptos" w:cs="Aptos"/>
          <w:color w:val="002060"/>
          <w:kern w:val="0"/>
          <w:lang w:val="de-DE" w:eastAsia="el-GR"/>
          <w14:ligatures w14:val="none"/>
        </w:rPr>
      </w:pPr>
      <w:r w:rsidRPr="002541AB">
        <w:rPr>
          <w:rFonts w:ascii="Calibri Light" w:eastAsia="Times New Roman" w:hAnsi="Calibri Light" w:cs="Calibri Light"/>
          <w:color w:val="002060"/>
          <w:kern w:val="0"/>
          <w:sz w:val="26"/>
          <w:szCs w:val="26"/>
          <w:lang w:val="en-US" w:eastAsia="el-GR"/>
          <w14:ligatures w14:val="none"/>
        </w:rPr>
        <w:t>Pursuant to article 11(2) of the same regulation as well as Reg (EU) 2023/2449</w:t>
      </w:r>
    </w:p>
    <w:p w14:paraId="2C228B07" w14:textId="77777777" w:rsidR="002541AB" w:rsidRPr="002541AB" w:rsidRDefault="002541AB" w:rsidP="002541AB">
      <w:pPr>
        <w:spacing w:after="0" w:line="276" w:lineRule="auto"/>
        <w:ind w:left="720"/>
        <w:jc w:val="both"/>
        <w:rPr>
          <w:rFonts w:ascii="Aptos" w:eastAsia="Aptos" w:hAnsi="Aptos" w:cs="Aptos"/>
          <w:kern w:val="0"/>
          <w:lang w:val="de-DE" w:eastAsia="el-GR"/>
          <w14:ligatures w14:val="none"/>
        </w:rPr>
      </w:pPr>
      <w:r w:rsidRPr="002541AB">
        <w:rPr>
          <w:rFonts w:ascii="Calibri Light" w:eastAsia="Aptos" w:hAnsi="Calibri Light" w:cs="Calibri Light"/>
          <w:color w:val="002060"/>
          <w:kern w:val="0"/>
          <w:sz w:val="26"/>
          <w:szCs w:val="26"/>
          <w:lang w:val="en-US" w:eastAsia="el-GR"/>
          <w14:ligatures w14:val="none"/>
        </w:rPr>
        <w:lastRenderedPageBreak/>
        <w:t xml:space="preserve">“Where there is a change of company, the previous company (Company A) shall submit to the administering authority responsible, to the authorities of the flag States concerned for ships flying the flag of a Member State, to the new company (Company B) and to the Commission, as close as practicable to the day of the completion of the change and </w:t>
      </w:r>
      <w:r w:rsidRPr="002541AB">
        <w:rPr>
          <w:rFonts w:ascii="Calibri Light" w:eastAsia="Aptos" w:hAnsi="Calibri Light" w:cs="Calibri Light"/>
          <w:b/>
          <w:bCs/>
          <w:color w:val="002060"/>
          <w:kern w:val="0"/>
          <w:sz w:val="26"/>
          <w:szCs w:val="26"/>
          <w:lang w:val="en-US" w:eastAsia="el-GR"/>
          <w14:ligatures w14:val="none"/>
        </w:rPr>
        <w:t>no later than three months thereafter</w:t>
      </w:r>
      <w:r w:rsidRPr="002541AB">
        <w:rPr>
          <w:rFonts w:ascii="Calibri Light" w:eastAsia="Aptos" w:hAnsi="Calibri Light" w:cs="Calibri Light"/>
          <w:color w:val="002060"/>
          <w:kern w:val="0"/>
          <w:sz w:val="26"/>
          <w:szCs w:val="26"/>
          <w:lang w:val="en-US" w:eastAsia="el-GR"/>
          <w14:ligatures w14:val="none"/>
        </w:rPr>
        <w:t>, a verified report covering the same elements as the emissions report referred to in paragraph 1, but limited to the period corresponding to the activities carried out under its responsibility.”</w:t>
      </w:r>
    </w:p>
    <w:p w14:paraId="443C59B1" w14:textId="77777777" w:rsidR="002541AB" w:rsidRPr="002541AB" w:rsidRDefault="002541AB" w:rsidP="002541AB">
      <w:pPr>
        <w:spacing w:after="0" w:line="276" w:lineRule="auto"/>
        <w:ind w:left="72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t xml:space="preserve">In practice, this means that the previous company (company A), before releasing the ship (“The Example of the Seas”) from their fleet in THETIS-MRV, should have submitted </w:t>
      </w:r>
      <w:r w:rsidRPr="002541AB">
        <w:rPr>
          <w:rFonts w:ascii="Calibri Light" w:eastAsia="Aptos" w:hAnsi="Calibri Light" w:cs="Calibri Light"/>
          <w:b/>
          <w:bCs/>
          <w:color w:val="002060"/>
          <w:kern w:val="0"/>
          <w:sz w:val="26"/>
          <w:szCs w:val="26"/>
          <w:lang w:val="en-US" w:eastAsia="el-GR"/>
          <w14:ligatures w14:val="none"/>
        </w:rPr>
        <w:t>a verified partial emissions report</w:t>
      </w:r>
      <w:r w:rsidRPr="002541AB">
        <w:rPr>
          <w:rFonts w:ascii="Calibri Light" w:eastAsia="Aptos" w:hAnsi="Calibri Light" w:cs="Calibri Light"/>
          <w:color w:val="002060"/>
          <w:kern w:val="0"/>
          <w:sz w:val="26"/>
          <w:szCs w:val="26"/>
          <w:lang w:val="en-US" w:eastAsia="el-GR"/>
          <w14:ligatures w14:val="none"/>
        </w:rPr>
        <w:t xml:space="preserve"> to the administering authority, the new company (Company B) and the authorities of the Flag State concerned (for ships flying a flag of a Member State) for the period starting from 1 Jan 2024 up to the date of the change of company. </w:t>
      </w:r>
    </w:p>
    <w:p w14:paraId="5A49C672" w14:textId="77777777" w:rsidR="002541AB" w:rsidRPr="002541AB" w:rsidRDefault="002541AB" w:rsidP="002541AB">
      <w:pPr>
        <w:spacing w:after="0" w:line="276" w:lineRule="auto"/>
        <w:ind w:left="72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t xml:space="preserve">Specific situations are considered as follows: </w:t>
      </w:r>
    </w:p>
    <w:p w14:paraId="5B4EF9E0" w14:textId="77777777" w:rsidR="002541AB" w:rsidRPr="002541AB" w:rsidRDefault="002541AB" w:rsidP="002541AB">
      <w:pPr>
        <w:numPr>
          <w:ilvl w:val="0"/>
          <w:numId w:val="2"/>
        </w:numPr>
        <w:spacing w:after="0" w:line="276" w:lineRule="auto"/>
        <w:jc w:val="both"/>
        <w:rPr>
          <w:rFonts w:ascii="Calibri Light" w:eastAsia="Times New Roman" w:hAnsi="Calibri Light" w:cs="Calibri Light"/>
          <w:color w:val="002060"/>
          <w:kern w:val="0"/>
          <w:sz w:val="26"/>
          <w:szCs w:val="26"/>
          <w:lang w:val="en-US" w:eastAsia="el-GR"/>
          <w14:ligatures w14:val="none"/>
        </w:rPr>
      </w:pPr>
      <w:r w:rsidRPr="002541AB">
        <w:rPr>
          <w:rFonts w:ascii="Calibri Light" w:eastAsia="Times New Roman" w:hAnsi="Calibri Light" w:cs="Calibri Light"/>
          <w:color w:val="002060"/>
          <w:kern w:val="0"/>
          <w:sz w:val="26"/>
          <w:szCs w:val="26"/>
          <w:lang w:val="en-US" w:eastAsia="el-GR"/>
          <w14:ligatures w14:val="none"/>
        </w:rPr>
        <w:t xml:space="preserve">The previous company (i.e. Company A) did not make any port call falling within MRV scope during the part of year during which the ship was under its responsibility: </w:t>
      </w:r>
    </w:p>
    <w:p w14:paraId="7FD4E6E1" w14:textId="77777777" w:rsidR="002541AB" w:rsidRPr="002541AB" w:rsidRDefault="002541AB" w:rsidP="002541AB">
      <w:pPr>
        <w:spacing w:after="0" w:line="276" w:lineRule="auto"/>
        <w:ind w:left="108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t xml:space="preserve">In case Company A did not make any port call falling within MRV scope during the period 1 January to 23 May 2024 with the ship ‘The Example of the Seas’, there is no obligation for Company A to provide a verified partial emissions report to Company B, because Company A would then fall outside the scope of the MRV Regulation. However, it is recommended as best practice that Company A provides such a partial emissions report to Company B (and to other relevant authorities) as this will simplify compliance by Company B, especially when the latter will submit the annual emissions report for that ship at the end of the reporting period. Logically, the verified partial emissions report would then report zero emissions within MRV scope. In the absence of a verified partial emissions report from Company A, Company B would have to rely on best available information, with the view to establish, to the satisfaction of the verifier, that there was indeed no port call falling within MRV scope during that period. </w:t>
      </w:r>
    </w:p>
    <w:p w14:paraId="25AA4425" w14:textId="77777777" w:rsidR="002541AB" w:rsidRPr="002541AB" w:rsidRDefault="002541AB" w:rsidP="002541AB">
      <w:pPr>
        <w:spacing w:after="0" w:line="276" w:lineRule="auto"/>
        <w:ind w:left="108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lastRenderedPageBreak/>
        <w:t xml:space="preserve">So, it is desirable even in the case of no EEA port calls during that period, i.e. to submit a verified </w:t>
      </w:r>
      <w:r w:rsidRPr="002541AB">
        <w:rPr>
          <w:rFonts w:ascii="Calibri Light" w:eastAsia="Aptos" w:hAnsi="Calibri Light" w:cs="Calibri Light"/>
          <w:color w:val="002060"/>
          <w:kern w:val="0"/>
          <w:sz w:val="26"/>
          <w:szCs w:val="26"/>
          <w:u w:val="single"/>
          <w:lang w:val="en-US" w:eastAsia="el-GR"/>
          <w14:ligatures w14:val="none"/>
        </w:rPr>
        <w:t>zero partial emissions report</w:t>
      </w:r>
      <w:r w:rsidRPr="002541AB">
        <w:rPr>
          <w:rFonts w:ascii="Calibri Light" w:eastAsia="Aptos" w:hAnsi="Calibri Light" w:cs="Calibri Light"/>
          <w:color w:val="002060"/>
          <w:kern w:val="0"/>
          <w:sz w:val="26"/>
          <w:szCs w:val="26"/>
          <w:lang w:val="en-US" w:eastAsia="el-GR"/>
          <w14:ligatures w14:val="none"/>
        </w:rPr>
        <w:t>, for clarity reasons.</w:t>
      </w:r>
    </w:p>
    <w:p w14:paraId="10050368" w14:textId="77777777" w:rsidR="002541AB" w:rsidRPr="002541AB" w:rsidRDefault="002541AB" w:rsidP="002541AB">
      <w:pPr>
        <w:numPr>
          <w:ilvl w:val="0"/>
          <w:numId w:val="2"/>
        </w:numPr>
        <w:spacing w:after="0" w:line="276" w:lineRule="auto"/>
        <w:jc w:val="both"/>
        <w:rPr>
          <w:rFonts w:ascii="Calibri Light" w:eastAsia="Times New Roman" w:hAnsi="Calibri Light" w:cs="Calibri Light"/>
          <w:color w:val="002060"/>
          <w:kern w:val="0"/>
          <w:sz w:val="26"/>
          <w:szCs w:val="26"/>
          <w:lang w:val="en-US" w:eastAsia="el-GR"/>
          <w14:ligatures w14:val="none"/>
        </w:rPr>
      </w:pPr>
      <w:r w:rsidRPr="002541AB">
        <w:rPr>
          <w:rFonts w:ascii="Calibri Light" w:eastAsia="Times New Roman" w:hAnsi="Calibri Light" w:cs="Calibri Light"/>
          <w:color w:val="002060"/>
          <w:kern w:val="0"/>
          <w:sz w:val="26"/>
          <w:szCs w:val="26"/>
          <w:lang w:val="en-US" w:eastAsia="el-GR"/>
          <w14:ligatures w14:val="none"/>
        </w:rPr>
        <w:t xml:space="preserve">The new company (i.e. Company B) does not make any port call falling within MRV scope during the rest of the year (i.e. when the ship is under its responsibility): </w:t>
      </w:r>
    </w:p>
    <w:p w14:paraId="2B605698" w14:textId="77777777" w:rsidR="002541AB" w:rsidRPr="002541AB" w:rsidRDefault="002541AB" w:rsidP="002541AB">
      <w:pPr>
        <w:spacing w:after="0" w:line="276" w:lineRule="auto"/>
        <w:ind w:left="108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t>Following the above example, in case Company B does not make any port call falling within MRV scope with the ship ‘The Example of the Seas’ from 24 May 2024 until 31 December 2024 (i.e. from the moment it takes responsibility for that ship until the end of the reporting period), Company B would still be obliged to provide by 31 March 2025 a verified annual emissions report under the MRV Maritime Regulation for that ship, which would allow Company B to obtain a valid Document of Compliance to be carried onboard. However, there would be no obligation for Company B to provide a verified aggregated emissions report for its company-level emissions for the purpose of the EU ETS (unless Company B has other ships that did make ETS-relevant port calls under its responsibility during that reporting period).</w:t>
      </w:r>
    </w:p>
    <w:p w14:paraId="29E6C655" w14:textId="77777777" w:rsidR="002541AB" w:rsidRPr="002541AB" w:rsidRDefault="002541AB" w:rsidP="002541AB">
      <w:pPr>
        <w:spacing w:after="0" w:line="276" w:lineRule="auto"/>
        <w:ind w:left="720"/>
        <w:jc w:val="both"/>
        <w:rPr>
          <w:rFonts w:ascii="Aptos" w:eastAsia="Aptos" w:hAnsi="Aptos" w:cs="Aptos"/>
          <w:kern w:val="0"/>
          <w:lang w:val="de-DE" w:eastAsia="el-GR"/>
          <w14:ligatures w14:val="none"/>
        </w:rPr>
      </w:pPr>
    </w:p>
    <w:p w14:paraId="15537ECD" w14:textId="77777777" w:rsidR="002541AB" w:rsidRPr="002541AB" w:rsidRDefault="002541AB" w:rsidP="002541AB">
      <w:pPr>
        <w:numPr>
          <w:ilvl w:val="0"/>
          <w:numId w:val="1"/>
        </w:numPr>
        <w:spacing w:after="0" w:line="276" w:lineRule="auto"/>
        <w:jc w:val="both"/>
        <w:rPr>
          <w:rFonts w:ascii="Aptos" w:eastAsia="Times New Roman" w:hAnsi="Aptos" w:cs="Aptos"/>
          <w:color w:val="002060"/>
          <w:kern w:val="0"/>
          <w:lang w:val="de-DE" w:eastAsia="el-GR"/>
          <w14:ligatures w14:val="none"/>
        </w:rPr>
      </w:pPr>
      <w:r w:rsidRPr="002541AB">
        <w:rPr>
          <w:rFonts w:ascii="Calibri Light" w:eastAsia="Times New Roman" w:hAnsi="Calibri Light" w:cs="Calibri Light"/>
          <w:color w:val="002060"/>
          <w:kern w:val="0"/>
          <w:sz w:val="26"/>
          <w:szCs w:val="26"/>
          <w:lang w:val="en-US" w:eastAsia="el-GR"/>
          <w14:ligatures w14:val="none"/>
        </w:rPr>
        <w:t xml:space="preserve">Pursuant to the amended Reg. (EU) 2019/1122 (Union Registry regulation), in case of </w:t>
      </w:r>
      <w:r w:rsidRPr="002541AB">
        <w:rPr>
          <w:rFonts w:ascii="Calibri Light" w:eastAsia="Times New Roman" w:hAnsi="Calibri Light" w:cs="Calibri Light"/>
          <w:b/>
          <w:bCs/>
          <w:color w:val="002060"/>
          <w:kern w:val="0"/>
          <w:sz w:val="26"/>
          <w:szCs w:val="26"/>
          <w:lang w:val="en-US" w:eastAsia="el-GR"/>
          <w14:ligatures w14:val="none"/>
        </w:rPr>
        <w:t>changes to the list of ship</w:t>
      </w:r>
      <w:r w:rsidRPr="002541AB">
        <w:rPr>
          <w:rFonts w:ascii="Calibri Light" w:eastAsia="Times New Roman" w:hAnsi="Calibri Light" w:cs="Calibri Light"/>
          <w:color w:val="002060"/>
          <w:kern w:val="0"/>
          <w:sz w:val="26"/>
          <w:szCs w:val="26"/>
          <w:lang w:val="en-US" w:eastAsia="el-GR"/>
          <w14:ligatures w14:val="none"/>
        </w:rPr>
        <w:t>(s) for which the shipping company assumes EU ETS responsibility, there are specific deadlines for the shipping company to inform the relevant national administrator (in charge of the Union Registry):</w:t>
      </w:r>
    </w:p>
    <w:p w14:paraId="3F3442BC" w14:textId="77777777" w:rsidR="002541AB" w:rsidRPr="002541AB" w:rsidRDefault="002541AB" w:rsidP="002541AB">
      <w:pPr>
        <w:numPr>
          <w:ilvl w:val="1"/>
          <w:numId w:val="3"/>
        </w:numPr>
        <w:spacing w:after="0" w:line="276" w:lineRule="auto"/>
        <w:jc w:val="both"/>
        <w:rPr>
          <w:rFonts w:ascii="Aptos" w:eastAsia="Times New Roman" w:hAnsi="Aptos" w:cs="Aptos"/>
          <w:color w:val="002060"/>
          <w:kern w:val="0"/>
          <w:lang w:val="de-DE" w:eastAsia="el-GR"/>
          <w14:ligatures w14:val="none"/>
        </w:rPr>
      </w:pPr>
      <w:r w:rsidRPr="002541AB">
        <w:rPr>
          <w:rFonts w:ascii="Calibri Light" w:eastAsia="Times New Roman" w:hAnsi="Calibri Light" w:cs="Calibri Light"/>
          <w:color w:val="002060"/>
          <w:kern w:val="0"/>
          <w:sz w:val="26"/>
          <w:szCs w:val="26"/>
          <w:lang w:val="en-US" w:eastAsia="el-GR"/>
          <w14:ligatures w14:val="none"/>
        </w:rPr>
        <w:t xml:space="preserve">for registered owners: “In case of changes to that list of ships, the shipowner shall inform the national administrator </w:t>
      </w:r>
      <w:r w:rsidRPr="002541AB">
        <w:rPr>
          <w:rFonts w:ascii="Calibri Light" w:eastAsia="Times New Roman" w:hAnsi="Calibri Light" w:cs="Calibri Light"/>
          <w:color w:val="002060"/>
          <w:kern w:val="0"/>
          <w:sz w:val="26"/>
          <w:szCs w:val="26"/>
          <w:u w:val="single"/>
          <w:lang w:val="en-US" w:eastAsia="el-GR"/>
          <w14:ligatures w14:val="none"/>
        </w:rPr>
        <w:t>within 20 working days</w:t>
      </w:r>
      <w:r w:rsidRPr="002541AB">
        <w:rPr>
          <w:rFonts w:ascii="Calibri Light" w:eastAsia="Times New Roman" w:hAnsi="Calibri Light" w:cs="Calibri Light"/>
          <w:color w:val="002060"/>
          <w:kern w:val="0"/>
          <w:sz w:val="26"/>
          <w:szCs w:val="26"/>
          <w:lang w:val="en-US" w:eastAsia="el-GR"/>
          <w14:ligatures w14:val="none"/>
        </w:rPr>
        <w:t xml:space="preserve"> and provide it with an updated document, as well as with the name and IMO unique company and registered owner identification number of the new shipping company for each of the ships no longer under the shipowner’s responsibility” (Annex </w:t>
      </w:r>
      <w:proofErr w:type="spellStart"/>
      <w:r w:rsidRPr="002541AB">
        <w:rPr>
          <w:rFonts w:ascii="Calibri Light" w:eastAsia="Times New Roman" w:hAnsi="Calibri Light" w:cs="Calibri Light"/>
          <w:color w:val="002060"/>
          <w:kern w:val="0"/>
          <w:sz w:val="26"/>
          <w:szCs w:val="26"/>
          <w:lang w:val="en-US" w:eastAsia="el-GR"/>
          <w14:ligatures w14:val="none"/>
        </w:rPr>
        <w:t>VIIa</w:t>
      </w:r>
      <w:proofErr w:type="spellEnd"/>
      <w:r w:rsidRPr="002541AB">
        <w:rPr>
          <w:rFonts w:ascii="Calibri Light" w:eastAsia="Times New Roman" w:hAnsi="Calibri Light" w:cs="Calibri Light"/>
          <w:color w:val="002060"/>
          <w:kern w:val="0"/>
          <w:sz w:val="26"/>
          <w:szCs w:val="26"/>
          <w:lang w:val="en-US" w:eastAsia="el-GR"/>
          <w14:ligatures w14:val="none"/>
        </w:rPr>
        <w:t>, point 5, second sub-paragraph).</w:t>
      </w:r>
    </w:p>
    <w:p w14:paraId="52F0EBFB" w14:textId="77777777" w:rsidR="002541AB" w:rsidRPr="002541AB" w:rsidRDefault="002541AB" w:rsidP="002541AB">
      <w:pPr>
        <w:numPr>
          <w:ilvl w:val="1"/>
          <w:numId w:val="3"/>
        </w:numPr>
        <w:spacing w:after="0" w:line="276" w:lineRule="auto"/>
        <w:jc w:val="both"/>
        <w:rPr>
          <w:rFonts w:ascii="Aptos" w:eastAsia="Times New Roman" w:hAnsi="Aptos" w:cs="Aptos"/>
          <w:color w:val="002060"/>
          <w:kern w:val="0"/>
          <w:lang w:val="de-DE" w:eastAsia="el-GR"/>
          <w14:ligatures w14:val="none"/>
        </w:rPr>
      </w:pPr>
      <w:r w:rsidRPr="002541AB">
        <w:rPr>
          <w:rFonts w:ascii="Calibri Light" w:eastAsia="Times New Roman" w:hAnsi="Calibri Light" w:cs="Calibri Light"/>
          <w:color w:val="002060"/>
          <w:kern w:val="0"/>
          <w:sz w:val="26"/>
          <w:szCs w:val="26"/>
          <w:lang w:val="en-US" w:eastAsia="el-GR"/>
          <w14:ligatures w14:val="none"/>
        </w:rPr>
        <w:t xml:space="preserve">for ISM companies: “All account holders shall notify the national administrator </w:t>
      </w:r>
      <w:r w:rsidRPr="002541AB">
        <w:rPr>
          <w:rFonts w:ascii="Calibri Light" w:eastAsia="Times New Roman" w:hAnsi="Calibri Light" w:cs="Calibri Light"/>
          <w:color w:val="002060"/>
          <w:kern w:val="0"/>
          <w:sz w:val="26"/>
          <w:szCs w:val="26"/>
          <w:u w:val="single"/>
          <w:lang w:val="en-US" w:eastAsia="el-GR"/>
          <w14:ligatures w14:val="none"/>
        </w:rPr>
        <w:t xml:space="preserve">within 10 working days </w:t>
      </w:r>
      <w:r w:rsidRPr="002541AB">
        <w:rPr>
          <w:rFonts w:ascii="Calibri Light" w:eastAsia="Times New Roman" w:hAnsi="Calibri Light" w:cs="Calibri Light"/>
          <w:color w:val="002060"/>
          <w:kern w:val="0"/>
          <w:sz w:val="26"/>
          <w:szCs w:val="26"/>
          <w:lang w:val="en-US" w:eastAsia="el-GR"/>
          <w14:ligatures w14:val="none"/>
        </w:rPr>
        <w:t>of changes to the account information.” (Article 22, paragraph 1).</w:t>
      </w:r>
    </w:p>
    <w:p w14:paraId="7F99D32C" w14:textId="77777777" w:rsidR="002541AB" w:rsidRPr="002541AB" w:rsidRDefault="002541AB" w:rsidP="002541AB">
      <w:pPr>
        <w:spacing w:after="0" w:line="276" w:lineRule="auto"/>
        <w:ind w:left="720"/>
        <w:jc w:val="both"/>
        <w:rPr>
          <w:rFonts w:ascii="Calibri Light" w:eastAsia="Aptos" w:hAnsi="Calibri Light" w:cs="Calibri Light"/>
          <w:color w:val="002060"/>
          <w:kern w:val="0"/>
          <w:sz w:val="26"/>
          <w:szCs w:val="26"/>
          <w:lang w:val="en-US" w:eastAsia="el-GR"/>
          <w14:ligatures w14:val="none"/>
        </w:rPr>
      </w:pPr>
    </w:p>
    <w:p w14:paraId="4B473AC4" w14:textId="77777777" w:rsidR="002541AB" w:rsidRPr="002541AB" w:rsidRDefault="002541AB" w:rsidP="002541AB">
      <w:pPr>
        <w:spacing w:after="0" w:line="276" w:lineRule="auto"/>
        <w:ind w:left="72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color w:val="002060"/>
          <w:kern w:val="0"/>
          <w:sz w:val="26"/>
          <w:szCs w:val="26"/>
          <w:lang w:val="en-US" w:eastAsia="el-GR"/>
          <w14:ligatures w14:val="none"/>
        </w:rPr>
        <w:t xml:space="preserve">For Greece, since the Registry is part of the AA's current structure, a simple notification by email to </w:t>
      </w:r>
      <w:hyperlink r:id="rId5" w:history="1">
        <w:r w:rsidRPr="002541AB">
          <w:rPr>
            <w:rFonts w:ascii="Calibri Light" w:eastAsia="Aptos" w:hAnsi="Calibri Light" w:cs="Calibri Light"/>
            <w:color w:val="0000FF"/>
            <w:kern w:val="0"/>
            <w:sz w:val="26"/>
            <w:szCs w:val="26"/>
            <w:u w:val="single"/>
            <w:lang w:val="en-US" w:eastAsia="el-GR"/>
            <w14:ligatures w14:val="none"/>
          </w:rPr>
          <w:t>ghgregistry@prv.ypeka.gr</w:t>
        </w:r>
      </w:hyperlink>
      <w:r w:rsidRPr="002541AB">
        <w:rPr>
          <w:rFonts w:ascii="Calibri Light" w:eastAsia="Aptos" w:hAnsi="Calibri Light" w:cs="Calibri Light"/>
          <w:color w:val="002060"/>
          <w:kern w:val="0"/>
          <w:sz w:val="26"/>
          <w:szCs w:val="26"/>
          <w:lang w:val="en-US" w:eastAsia="el-GR"/>
          <w14:ligatures w14:val="none"/>
        </w:rPr>
        <w:t xml:space="preserve"> fulfills this </w:t>
      </w:r>
      <w:r w:rsidRPr="002541AB">
        <w:rPr>
          <w:rFonts w:ascii="Calibri Light" w:eastAsia="Aptos" w:hAnsi="Calibri Light" w:cs="Calibri Light"/>
          <w:color w:val="002060"/>
          <w:kern w:val="0"/>
          <w:sz w:val="26"/>
          <w:szCs w:val="26"/>
          <w:lang w:val="en-US" w:eastAsia="el-GR"/>
          <w14:ligatures w14:val="none"/>
        </w:rPr>
        <w:lastRenderedPageBreak/>
        <w:t>requirement. In the case of an ISM company taking on a new ship, the mandate for this ship should also be included in this email. Furthermore, it is the responsibility of the ISM company with the MOH Account to ensure that the list of registered shipowners for which it is responsible in the "Maritime Operator Information" tab of the MOHA is up to date by its authorized representatives (upon approval by the registry’s National Administrators)</w:t>
      </w:r>
    </w:p>
    <w:p w14:paraId="06A64DBE" w14:textId="77777777" w:rsidR="002541AB" w:rsidRPr="002541AB" w:rsidRDefault="002541AB" w:rsidP="002541AB">
      <w:pPr>
        <w:spacing w:after="0" w:line="276" w:lineRule="auto"/>
        <w:ind w:left="720"/>
        <w:jc w:val="both"/>
        <w:rPr>
          <w:rFonts w:ascii="Calibri Light" w:eastAsia="Aptos" w:hAnsi="Calibri Light" w:cs="Calibri Light"/>
          <w:color w:val="002060"/>
          <w:kern w:val="0"/>
          <w:sz w:val="26"/>
          <w:szCs w:val="26"/>
          <w:lang w:val="en-US" w:eastAsia="el-GR"/>
          <w14:ligatures w14:val="none"/>
        </w:rPr>
      </w:pPr>
      <w:r w:rsidRPr="002541AB">
        <w:rPr>
          <w:rFonts w:ascii="Calibri Light" w:eastAsia="Aptos" w:hAnsi="Calibri Light" w:cs="Calibri Light"/>
          <w:b/>
          <w:bCs/>
          <w:color w:val="002060"/>
          <w:kern w:val="0"/>
          <w:sz w:val="26"/>
          <w:szCs w:val="26"/>
          <w:lang w:val="en-US" w:eastAsia="el-GR"/>
          <w14:ligatures w14:val="none"/>
        </w:rPr>
        <w:t>If these instructions change, you will be duly notified.</w:t>
      </w:r>
    </w:p>
    <w:p w14:paraId="5352B17C" w14:textId="77777777" w:rsidR="001A6D46" w:rsidRPr="002541AB" w:rsidRDefault="001A6D46">
      <w:pPr>
        <w:rPr>
          <w:lang w:val="en-US"/>
        </w:rPr>
      </w:pPr>
    </w:p>
    <w:sectPr w:rsidR="001A6D46" w:rsidRPr="002541A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321A5F"/>
    <w:multiLevelType w:val="hybridMultilevel"/>
    <w:tmpl w:val="D06422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3CC93B37"/>
    <w:multiLevelType w:val="hybridMultilevel"/>
    <w:tmpl w:val="2A042ED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15:restartNumberingAfterBreak="0">
    <w:nsid w:val="4AAD0100"/>
    <w:multiLevelType w:val="hybridMultilevel"/>
    <w:tmpl w:val="350C589A"/>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num w:numId="1" w16cid:durableId="1196699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8696054">
    <w:abstractNumId w:val="2"/>
    <w:lvlOverride w:ilvl="0"/>
    <w:lvlOverride w:ilvl="1"/>
    <w:lvlOverride w:ilvl="2"/>
    <w:lvlOverride w:ilvl="3"/>
    <w:lvlOverride w:ilvl="4"/>
    <w:lvlOverride w:ilvl="5"/>
    <w:lvlOverride w:ilvl="6"/>
    <w:lvlOverride w:ilvl="7"/>
    <w:lvlOverride w:ilvl="8"/>
  </w:num>
  <w:num w:numId="3" w16cid:durableId="1173573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1AB"/>
    <w:rsid w:val="0002571A"/>
    <w:rsid w:val="001A6D46"/>
    <w:rsid w:val="002541A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24879"/>
  <w15:chartTrackingRefBased/>
  <w15:docId w15:val="{EAA6ADE3-7551-42DB-9FC6-0C919DDD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541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541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541A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541A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541A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541A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541A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541A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541A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541A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541A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541A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541A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541A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541A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541A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541A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541AB"/>
    <w:rPr>
      <w:rFonts w:eastAsiaTheme="majorEastAsia" w:cstheme="majorBidi"/>
      <w:color w:val="272727" w:themeColor="text1" w:themeTint="D8"/>
    </w:rPr>
  </w:style>
  <w:style w:type="paragraph" w:styleId="a3">
    <w:name w:val="Title"/>
    <w:basedOn w:val="a"/>
    <w:next w:val="a"/>
    <w:link w:val="Char"/>
    <w:uiPriority w:val="10"/>
    <w:qFormat/>
    <w:rsid w:val="00254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541A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541A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541A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541AB"/>
    <w:pPr>
      <w:spacing w:before="160"/>
      <w:jc w:val="center"/>
    </w:pPr>
    <w:rPr>
      <w:i/>
      <w:iCs/>
      <w:color w:val="404040" w:themeColor="text1" w:themeTint="BF"/>
    </w:rPr>
  </w:style>
  <w:style w:type="character" w:customStyle="1" w:styleId="Char1">
    <w:name w:val="Απόσπασμα Char"/>
    <w:basedOn w:val="a0"/>
    <w:link w:val="a5"/>
    <w:uiPriority w:val="29"/>
    <w:rsid w:val="002541AB"/>
    <w:rPr>
      <w:i/>
      <w:iCs/>
      <w:color w:val="404040" w:themeColor="text1" w:themeTint="BF"/>
    </w:rPr>
  </w:style>
  <w:style w:type="paragraph" w:styleId="a6">
    <w:name w:val="List Paragraph"/>
    <w:basedOn w:val="a"/>
    <w:uiPriority w:val="34"/>
    <w:qFormat/>
    <w:rsid w:val="002541AB"/>
    <w:pPr>
      <w:ind w:left="720"/>
      <w:contextualSpacing/>
    </w:pPr>
  </w:style>
  <w:style w:type="character" w:styleId="a7">
    <w:name w:val="Intense Emphasis"/>
    <w:basedOn w:val="a0"/>
    <w:uiPriority w:val="21"/>
    <w:qFormat/>
    <w:rsid w:val="002541AB"/>
    <w:rPr>
      <w:i/>
      <w:iCs/>
      <w:color w:val="0F4761" w:themeColor="accent1" w:themeShade="BF"/>
    </w:rPr>
  </w:style>
  <w:style w:type="paragraph" w:styleId="a8">
    <w:name w:val="Intense Quote"/>
    <w:basedOn w:val="a"/>
    <w:next w:val="a"/>
    <w:link w:val="Char2"/>
    <w:uiPriority w:val="30"/>
    <w:qFormat/>
    <w:rsid w:val="002541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541AB"/>
    <w:rPr>
      <w:i/>
      <w:iCs/>
      <w:color w:val="0F4761" w:themeColor="accent1" w:themeShade="BF"/>
    </w:rPr>
  </w:style>
  <w:style w:type="character" w:styleId="a9">
    <w:name w:val="Intense Reference"/>
    <w:basedOn w:val="a0"/>
    <w:uiPriority w:val="32"/>
    <w:qFormat/>
    <w:rsid w:val="002541AB"/>
    <w:rPr>
      <w:b/>
      <w:bCs/>
      <w:smallCaps/>
      <w:color w:val="0F4761" w:themeColor="accent1" w:themeShade="BF"/>
      <w:spacing w:val="5"/>
    </w:rPr>
  </w:style>
  <w:style w:type="character" w:styleId="-">
    <w:name w:val="Hyperlink"/>
    <w:basedOn w:val="a0"/>
    <w:uiPriority w:val="99"/>
    <w:unhideWhenUsed/>
    <w:rsid w:val="002541AB"/>
    <w:rPr>
      <w:color w:val="467886" w:themeColor="hyperlink"/>
      <w:u w:val="single"/>
    </w:rPr>
  </w:style>
  <w:style w:type="character" w:styleId="aa">
    <w:name w:val="Unresolved Mention"/>
    <w:basedOn w:val="a0"/>
    <w:uiPriority w:val="99"/>
    <w:semiHidden/>
    <w:unhideWhenUsed/>
    <w:rsid w:val="00254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60947">
      <w:bodyDiv w:val="1"/>
      <w:marLeft w:val="0"/>
      <w:marRight w:val="0"/>
      <w:marTop w:val="0"/>
      <w:marBottom w:val="0"/>
      <w:divBdr>
        <w:top w:val="none" w:sz="0" w:space="0" w:color="auto"/>
        <w:left w:val="none" w:sz="0" w:space="0" w:color="auto"/>
        <w:bottom w:val="none" w:sz="0" w:space="0" w:color="auto"/>
        <w:right w:val="none" w:sz="0" w:space="0" w:color="auto"/>
      </w:divBdr>
    </w:div>
    <w:div w:id="1228297392">
      <w:bodyDiv w:val="1"/>
      <w:marLeft w:val="0"/>
      <w:marRight w:val="0"/>
      <w:marTop w:val="0"/>
      <w:marBottom w:val="0"/>
      <w:divBdr>
        <w:top w:val="none" w:sz="0" w:space="0" w:color="auto"/>
        <w:left w:val="none" w:sz="0" w:space="0" w:color="auto"/>
        <w:bottom w:val="none" w:sz="0" w:space="0" w:color="auto"/>
        <w:right w:val="none" w:sz="0" w:space="0" w:color="auto"/>
      </w:divBdr>
    </w:div>
    <w:div w:id="189261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hgregistry@prv.ypeka.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1129</Words>
  <Characters>6099</Characters>
  <Application>Microsoft Office Word</Application>
  <DocSecurity>0</DocSecurity>
  <Lines>50</Lines>
  <Paragraphs>14</Paragraphs>
  <ScaleCrop>false</ScaleCrop>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Nektarios Mamitsas</dc:creator>
  <cp:keywords/>
  <dc:description/>
  <cp:lastModifiedBy>Nektarios Mamitsas</cp:lastModifiedBy>
  <cp:revision>1</cp:revision>
  <dcterms:created xsi:type="dcterms:W3CDTF">2024-12-04T12:44:00Z</dcterms:created>
  <dcterms:modified xsi:type="dcterms:W3CDTF">2024-12-04T12:46:00Z</dcterms:modified>
</cp:coreProperties>
</file>