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832A9" w14:textId="77777777" w:rsidR="00257B85" w:rsidRPr="00257B85" w:rsidRDefault="00257B85" w:rsidP="00257B85">
      <w:pPr>
        <w:rPr>
          <w:b/>
          <w:bCs/>
        </w:rPr>
      </w:pPr>
      <w:r w:rsidRPr="00257B85">
        <w:rPr>
          <w:b/>
          <w:bCs/>
        </w:rPr>
        <w:t>Clarification on the Treatment of Offshore Facilities</w:t>
      </w:r>
    </w:p>
    <w:p w14:paraId="473C4673" w14:textId="50CF4BD7" w:rsidR="00257B85" w:rsidRPr="00257B85" w:rsidRDefault="00257B85" w:rsidP="006C2E34">
      <w:pPr>
        <w:jc w:val="both"/>
      </w:pPr>
      <w:r w:rsidRPr="00257B85">
        <w:t xml:space="preserve">In cases where loading or unloading of cargo or passengers or crew relief (for offshore vessels only) takes place at offshore facilities that do not have a UN/LOCODE or are not permanently connected to a port or are outside port areas, the stop at such facilities shall be considered a port of call, provided that a Port Clearance document related to the stop at the offshore facility is available.  The Port Clearance document shall constitute sufficient supporting evidence in this regard. </w:t>
      </w:r>
      <w:r w:rsidR="0049516C" w:rsidRPr="0049516C">
        <w:t>In such cases, the Company shall report either the UN/LOCODE of the port indicated in the Port Clearance document or, in the absence of such indication, the UN/LOCODE of the nearest port of the respective country.</w:t>
      </w:r>
    </w:p>
    <w:p w14:paraId="54A3B05B" w14:textId="77777777" w:rsidR="00257B85" w:rsidRDefault="00257B85"/>
    <w:sectPr w:rsidR="00257B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B85"/>
    <w:rsid w:val="00257B85"/>
    <w:rsid w:val="0049516C"/>
    <w:rsid w:val="006C2E34"/>
    <w:rsid w:val="007F22BB"/>
    <w:rsid w:val="00925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85777"/>
  <w15:chartTrackingRefBased/>
  <w15:docId w15:val="{9739FD87-0586-48D0-860B-160434542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257B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57B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57B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57B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57B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57B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57B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57B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57B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257B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257B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257B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257B85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257B85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257B85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257B85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257B85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257B8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257B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257B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257B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257B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257B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257B85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257B85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257B85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257B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257B85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257B8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 Karmiri</dc:creator>
  <cp:keywords/>
  <dc:description/>
  <cp:lastModifiedBy>Anna Kontomichi</cp:lastModifiedBy>
  <cp:revision>2</cp:revision>
  <dcterms:created xsi:type="dcterms:W3CDTF">2026-03-16T13:56:00Z</dcterms:created>
  <dcterms:modified xsi:type="dcterms:W3CDTF">2026-03-17T09:59:00Z</dcterms:modified>
</cp:coreProperties>
</file>